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E118" w14:textId="4D9C099F" w:rsidR="00C22936" w:rsidRPr="007E46EC" w:rsidRDefault="00C22936" w:rsidP="00C22936">
      <w:pPr>
        <w:shd w:val="clear" w:color="auto" w:fill="FFFFFF"/>
        <w:spacing w:after="180" w:line="240" w:lineRule="auto"/>
        <w:outlineLvl w:val="0"/>
        <w:rPr>
          <w:rFonts w:ascii="Times New Roman" w:eastAsia="SimSun" w:hAnsi="Times New Roman" w:cs="Times New Roman"/>
          <w:color w:val="4472C4" w:themeColor="accent1"/>
          <w:sz w:val="24"/>
          <w:szCs w:val="24"/>
        </w:rPr>
      </w:pPr>
      <w:r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>Uvođenje eura</w:t>
      </w:r>
      <w:r w:rsidR="007E46EC" w:rsidRPr="008E24FD">
        <w:rPr>
          <w:rFonts w:ascii="Times New Roman" w:eastAsia="SimSun" w:hAnsi="Times New Roman" w:cs="Times New Roman"/>
          <w:sz w:val="24"/>
          <w:szCs w:val="24"/>
        </w:rPr>
        <w:t xml:space="preserve"> - </w:t>
      </w:r>
      <w:r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>Obavijest obveznicima / korisnicima sustava e-Trošarine</w:t>
      </w:r>
      <w:r w:rsidR="00E657A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43F63C7A" w14:textId="77777777" w:rsidR="007E46EC" w:rsidRDefault="007E46EC" w:rsidP="000938C4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3F9C59C2" w14:textId="7629FDB0" w:rsidR="00E657A0" w:rsidRPr="00E657A0" w:rsidRDefault="00E657A0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E657A0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Na dan 1.</w:t>
      </w:r>
      <w:r w:rsidR="00DE1B32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4ED9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siječnja </w:t>
      </w:r>
      <w:r w:rsidRPr="00E657A0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2023.</w:t>
      </w:r>
      <w:r w:rsidR="00B14ED9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godine </w:t>
      </w:r>
      <w:r w:rsidRPr="00E657A0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euro postaje službena valuta u Republici Hrvatskoj</w:t>
      </w:r>
      <w:r w:rsidR="00953DB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</w:p>
    <w:p w14:paraId="76826CBC" w14:textId="04926D00" w:rsidR="00E657A0" w:rsidRDefault="00E657A0" w:rsidP="008E24FD">
      <w:pPr>
        <w:pStyle w:val="xxmsonormal"/>
        <w:jc w:val="both"/>
        <w:rPr>
          <w:rFonts w:ascii="Times New Roman" w:eastAsia="SimSun" w:hAnsi="Times New Roman" w:cs="Times New Roman"/>
          <w:color w:val="2D3C4A"/>
        </w:rPr>
      </w:pPr>
    </w:p>
    <w:p w14:paraId="2F9E0892" w14:textId="67962F6B" w:rsidR="000938C4" w:rsidRDefault="000938C4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Vijeće Europske unije donijelo je </w:t>
      </w:r>
      <w:r w:rsidR="007E46EC" w:rsidRPr="008E24FD">
        <w:rPr>
          <w:rFonts w:ascii="Times New Roman" w:eastAsia="SimSun" w:hAnsi="Times New Roman" w:cs="Times New Roman"/>
          <w:sz w:val="24"/>
          <w:szCs w:val="24"/>
        </w:rPr>
        <w:t>o</w:t>
      </w:r>
      <w:r w:rsidRPr="008E24FD">
        <w:rPr>
          <w:rFonts w:ascii="Times New Roman" w:eastAsia="SimSun" w:hAnsi="Times New Roman" w:cs="Times New Roman"/>
          <w:sz w:val="24"/>
          <w:szCs w:val="24"/>
        </w:rPr>
        <w:t xml:space="preserve">dluku o </w:t>
      </w:r>
      <w:r w:rsidR="00746740" w:rsidRPr="008E24FD">
        <w:rPr>
          <w:rFonts w:ascii="Times New Roman" w:eastAsia="SimSun" w:hAnsi="Times New Roman" w:cs="Times New Roman"/>
          <w:sz w:val="24"/>
          <w:szCs w:val="24"/>
        </w:rPr>
        <w:t xml:space="preserve">usvajanju </w:t>
      </w:r>
      <w:r w:rsidRPr="008E24FD">
        <w:rPr>
          <w:rFonts w:ascii="Times New Roman" w:eastAsia="SimSun" w:hAnsi="Times New Roman" w:cs="Times New Roman"/>
          <w:sz w:val="24"/>
          <w:szCs w:val="24"/>
        </w:rPr>
        <w:t xml:space="preserve">eura </w:t>
      </w:r>
      <w:r w:rsidR="00DE1B32" w:rsidRPr="008E24FD">
        <w:rPr>
          <w:rFonts w:ascii="Times New Roman" w:eastAsia="SimSun" w:hAnsi="Times New Roman" w:cs="Times New Roman"/>
          <w:sz w:val="24"/>
          <w:szCs w:val="24"/>
        </w:rPr>
        <w:t xml:space="preserve">kao službene valute </w:t>
      </w:r>
      <w:r w:rsidRPr="008E24FD">
        <w:rPr>
          <w:rFonts w:ascii="Times New Roman" w:eastAsia="SimSun" w:hAnsi="Times New Roman" w:cs="Times New Roman"/>
          <w:sz w:val="24"/>
          <w:szCs w:val="24"/>
        </w:rPr>
        <w:t xml:space="preserve">u </w:t>
      </w:r>
      <w:r w:rsidR="00DE1B32" w:rsidRPr="008E24FD">
        <w:rPr>
          <w:rFonts w:ascii="Times New Roman" w:eastAsia="SimSun" w:hAnsi="Times New Roman" w:cs="Times New Roman"/>
          <w:sz w:val="24"/>
          <w:szCs w:val="24"/>
        </w:rPr>
        <w:t xml:space="preserve">Republici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Hrvatskoj od 1. siječnja 2023. </w:t>
      </w:r>
      <w:r w:rsidR="00746740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hyperlink r:id="rId5" w:history="1">
        <w:r w:rsidR="00746740" w:rsidRPr="00746740">
          <w:rPr>
            <w:rStyle w:val="Hiperveza"/>
            <w:rFonts w:ascii="Times New Roman" w:eastAsia="SimSun" w:hAnsi="Times New Roman" w:cs="Times New Roman"/>
            <w:sz w:val="24"/>
            <w:szCs w:val="24"/>
          </w:rPr>
          <w:t>Odluka Vijeća (EU) 2022/1211</w:t>
        </w:r>
      </w:hyperlink>
      <w:r w:rsidR="0074674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 </w:t>
      </w:r>
      <w:r w:rsidR="007E46EC" w:rsidRPr="007E46EC">
        <w:rPr>
          <w:rFonts w:ascii="Times New Roman" w:eastAsia="SimSun" w:hAnsi="Times New Roman" w:cs="Times New Roman"/>
          <w:sz w:val="24"/>
          <w:szCs w:val="24"/>
        </w:rPr>
        <w:t>u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redbu prema kojo</w:t>
      </w:r>
      <w:r w:rsidR="00DE1B32"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je utvrđen fiksni tečaj konverzije kune u euro</w:t>
      </w:r>
      <w:r w:rsidR="00DE1B32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 EUR = 7,53450 HRK</w:t>
      </w:r>
      <w:r w:rsidR="0074674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="00746740" w:rsidRPr="00746740">
          <w:rPr>
            <w:rStyle w:val="Hiperveza"/>
            <w:rFonts w:ascii="Times New Roman" w:eastAsia="SimSun" w:hAnsi="Times New Roman" w:cs="Times New Roman"/>
            <w:sz w:val="24"/>
            <w:szCs w:val="24"/>
          </w:rPr>
          <w:t>Uredba Vijeća (EU) 2022/1208</w:t>
        </w:r>
      </w:hyperlink>
      <w:r w:rsidR="00746740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00DDC83A" w14:textId="77777777" w:rsidR="00FC3146" w:rsidRPr="00746740" w:rsidRDefault="00FC3146" w:rsidP="008E24FD">
      <w:pPr>
        <w:pStyle w:val="Default"/>
        <w:jc w:val="both"/>
        <w:rPr>
          <w:lang w:val="hr-HR"/>
        </w:rPr>
      </w:pPr>
    </w:p>
    <w:p w14:paraId="398D8355" w14:textId="0BE3EB34" w:rsidR="000938C4" w:rsidRDefault="000938C4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bookmarkStart w:id="0" w:name="_Hlk121747258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Poslovni procesi iz nadležnosti Carinske uprave u okviru propisa o trošarinama i posebnim </w:t>
      </w:r>
      <w:bookmarkStart w:id="1" w:name="_Hlk121747214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porezima bit će </w:t>
      </w:r>
      <w:r w:rsidR="00C204F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 cijelosti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podržani aplikativnim rješenjima u kojima će biti integrirana potrebna prilagodba vezana uz uvođenje eura.</w:t>
      </w:r>
    </w:p>
    <w:bookmarkEnd w:id="1"/>
    <w:bookmarkEnd w:id="0"/>
    <w:p w14:paraId="73C1B949" w14:textId="77777777" w:rsidR="003C6952" w:rsidRDefault="003C6952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94FD851" w14:textId="77777777" w:rsidR="003C6952" w:rsidRDefault="003C6952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 sustavu za elektroničko podnošenje trošarinskih obrazaca i obrazaca posebnih poreza (e-Trošarine) primjenjivat će se važeća zakonska valuta za odabrano razdoblje nastale obveze. </w:t>
      </w:r>
    </w:p>
    <w:p w14:paraId="04F41B37" w14:textId="77777777" w:rsidR="000938C4" w:rsidRDefault="000938C4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3C4BD76" w14:textId="3A1AA071" w:rsidR="000938C4" w:rsidRPr="008E24FD" w:rsidRDefault="000938C4" w:rsidP="008E24FD">
      <w:pPr>
        <w:pStyle w:val="xxmsonormal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>Trošarinski obveznici i obveznici posebnih poreza koji će prijavljivati obvezu obračunate trošarine odnosno posebnog poreza za tekuću 2022. godinu i/ili izmjene za prethodne godine obrasce će podnositi u kunama.</w:t>
      </w:r>
      <w:r w:rsidR="00746740"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7E46EC" w:rsidRPr="008E24FD">
        <w:rPr>
          <w:rFonts w:ascii="Times New Roman" w:eastAsia="SimSun" w:hAnsi="Times New Roman" w:cs="Times New Roman"/>
          <w:sz w:val="24"/>
          <w:szCs w:val="24"/>
        </w:rPr>
        <w:t>Poslovni sustav</w:t>
      </w:r>
      <w:r w:rsidR="00746740" w:rsidRPr="008E24FD">
        <w:rPr>
          <w:rFonts w:ascii="Times New Roman" w:eastAsia="SimSun" w:hAnsi="Times New Roman" w:cs="Times New Roman"/>
          <w:sz w:val="24"/>
          <w:szCs w:val="24"/>
        </w:rPr>
        <w:t xml:space="preserve"> e-Trošarine će</w:t>
      </w:r>
      <w:r w:rsidR="007E46EC" w:rsidRPr="008E24FD">
        <w:rPr>
          <w:rFonts w:ascii="Times New Roman" w:eastAsia="SimSun" w:hAnsi="Times New Roman" w:cs="Times New Roman"/>
          <w:sz w:val="24"/>
          <w:szCs w:val="24"/>
        </w:rPr>
        <w:t>, temeljem implementiranog aplikativnog rješenja,</w:t>
      </w:r>
      <w:r w:rsidR="00746740" w:rsidRPr="008E24FD">
        <w:rPr>
          <w:rFonts w:ascii="Times New Roman" w:eastAsia="SimSun" w:hAnsi="Times New Roman" w:cs="Times New Roman"/>
          <w:sz w:val="24"/>
          <w:szCs w:val="24"/>
        </w:rPr>
        <w:t xml:space="preserve"> iznose u kunama konvertirati u iznose u eurima.</w:t>
      </w:r>
    </w:p>
    <w:p w14:paraId="51D2EDAF" w14:textId="77777777" w:rsidR="00DE1B32" w:rsidRPr="008E24FD" w:rsidRDefault="00DE1B32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DA51F59" w14:textId="333B3000" w:rsidR="000938C4" w:rsidRDefault="000938C4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>Za obvezu nastalu u godini kada će na snazi biti službena valuta euro trošarinski obveznici i obveznici posebnih poreza</w:t>
      </w:r>
      <w:r w:rsidR="00DE1B32"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8E24F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koji prijavljuju obvezu obračuna trošarine odnosno posebnog poreza, obrasce će podnositi u eurima.</w:t>
      </w:r>
    </w:p>
    <w:p w14:paraId="52B07E1C" w14:textId="77777777" w:rsidR="000938C4" w:rsidRDefault="000938C4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3776195" w14:textId="6D6A5EDB" w:rsidR="000938C4" w:rsidRDefault="000938C4" w:rsidP="008E24FD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Na mrežnoj stranici Vlade Republike Hrvatske i</w:t>
      </w:r>
      <w:r w:rsidR="00C2293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Hrvatske narodne banke</w:t>
      </w:r>
      <w:r w:rsidR="00C2293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hyperlink r:id="rId7" w:tgtFrame="_blank" w:history="1">
        <w:r>
          <w:rPr>
            <w:rStyle w:val="Hiperveza"/>
            <w:rFonts w:ascii="Times New Roman" w:eastAsia="SimSu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www.euro.hr</w:t>
        </w:r>
      </w:hyperlink>
      <w:r w:rsidR="00C2293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mogu se pronaći najvažnije informacije o uvođenju eura, kao i informacije drugih ključnih dionika u procesu zamjene hrvatske kune eurom.</w:t>
      </w:r>
    </w:p>
    <w:p w14:paraId="2BAA9AB3" w14:textId="77777777" w:rsidR="00C22936" w:rsidRDefault="00C22936" w:rsidP="000938C4">
      <w:pPr>
        <w:pStyle w:val="xxmsonormal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5E74E91" w14:textId="066AEE0B" w:rsidR="000938C4" w:rsidRDefault="000938C4" w:rsidP="000938C4">
      <w:pPr>
        <w:pStyle w:val="wordsection1"/>
        <w:rPr>
          <w:rFonts w:ascii="Times New Roman" w:hAnsi="Times New Roman" w:cs="Times New Roman"/>
        </w:rPr>
      </w:pPr>
    </w:p>
    <w:p w14:paraId="17947DEC" w14:textId="35496866" w:rsidR="000938C4" w:rsidRDefault="000938C4"/>
    <w:p w14:paraId="4B91E089" w14:textId="365FD05F" w:rsidR="000938C4" w:rsidRDefault="000938C4"/>
    <w:p w14:paraId="14C995DF" w14:textId="148738D2" w:rsidR="000938C4" w:rsidRDefault="000938C4"/>
    <w:p w14:paraId="229B9B98" w14:textId="039B21B6" w:rsidR="000938C4" w:rsidRDefault="000938C4"/>
    <w:p w14:paraId="7168E79B" w14:textId="608A10C1" w:rsidR="00B14ED9" w:rsidRDefault="00B14ED9"/>
    <w:p w14:paraId="2BB1A83D" w14:textId="598FE3C1" w:rsidR="00B14ED9" w:rsidRDefault="00B14ED9"/>
    <w:p w14:paraId="00215AC7" w14:textId="1AA43AD8" w:rsidR="00B14ED9" w:rsidRDefault="00B14ED9"/>
    <w:p w14:paraId="29722CF0" w14:textId="1C32CB70" w:rsidR="00B14ED9" w:rsidRDefault="00B14ED9"/>
    <w:p w14:paraId="63B341FB" w14:textId="6EF72029" w:rsidR="00B14ED9" w:rsidRDefault="00B14ED9"/>
    <w:p w14:paraId="1999A6E7" w14:textId="36A4B5E0" w:rsidR="00B14ED9" w:rsidRDefault="00B14ED9"/>
    <w:p w14:paraId="67E21090" w14:textId="66A25B5F" w:rsidR="00B14ED9" w:rsidRDefault="00B14ED9"/>
    <w:p w14:paraId="7D983D66" w14:textId="547875DA" w:rsidR="00B14ED9" w:rsidRDefault="00B14ED9"/>
    <w:p w14:paraId="2C4E1984" w14:textId="77777777" w:rsidR="00B14ED9" w:rsidRDefault="00B14ED9"/>
    <w:sectPr w:rsidR="00B1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1780"/>
    <w:multiLevelType w:val="hybridMultilevel"/>
    <w:tmpl w:val="1944A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8"/>
    <w:rsid w:val="000862D8"/>
    <w:rsid w:val="000938C4"/>
    <w:rsid w:val="002444A3"/>
    <w:rsid w:val="003C6952"/>
    <w:rsid w:val="00553C5C"/>
    <w:rsid w:val="005A5F10"/>
    <w:rsid w:val="00702F0D"/>
    <w:rsid w:val="00746740"/>
    <w:rsid w:val="007E46EC"/>
    <w:rsid w:val="008A1EA3"/>
    <w:rsid w:val="008E24FD"/>
    <w:rsid w:val="00913A0F"/>
    <w:rsid w:val="009516D4"/>
    <w:rsid w:val="00953DB6"/>
    <w:rsid w:val="00AC770B"/>
    <w:rsid w:val="00B14ED9"/>
    <w:rsid w:val="00C204F0"/>
    <w:rsid w:val="00C22936"/>
    <w:rsid w:val="00DE1B32"/>
    <w:rsid w:val="00E657A0"/>
    <w:rsid w:val="00FB4BC1"/>
    <w:rsid w:val="00FC3146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9C04"/>
  <w15:chartTrackingRefBased/>
  <w15:docId w15:val="{097BBCA0-0C9B-448A-984D-F2B7D4F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38C4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0938C4"/>
    <w:pPr>
      <w:spacing w:after="0" w:line="240" w:lineRule="auto"/>
    </w:pPr>
    <w:rPr>
      <w:rFonts w:ascii="SimSun" w:eastAsia="SimSun" w:hAnsi="SimSun" w:cs="Calibri"/>
      <w:color w:val="000000"/>
      <w:sz w:val="24"/>
      <w:szCs w:val="24"/>
      <w:lang w:eastAsia="hr-HR"/>
    </w:rPr>
  </w:style>
  <w:style w:type="paragraph" w:customStyle="1" w:styleId="xxmsonormal">
    <w:name w:val="x_x_msonormal"/>
    <w:basedOn w:val="Normal"/>
    <w:uiPriority w:val="99"/>
    <w:rsid w:val="000938C4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msonormal">
    <w:name w:val="x_msonormal"/>
    <w:basedOn w:val="Normal"/>
    <w:rsid w:val="000938C4"/>
    <w:pPr>
      <w:spacing w:after="0" w:line="240" w:lineRule="auto"/>
    </w:pPr>
    <w:rPr>
      <w:rFonts w:ascii="Calibri" w:hAnsi="Calibri" w:cs="Calibr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14ED9"/>
    <w:rPr>
      <w:color w:val="954F72" w:themeColor="followedHyperlink"/>
      <w:u w:val="single"/>
    </w:rPr>
  </w:style>
  <w:style w:type="paragraph" w:customStyle="1" w:styleId="Default">
    <w:name w:val="Default"/>
    <w:rsid w:val="00FC314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467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447">
          <w:marLeft w:val="0"/>
          <w:marRight w:val="0"/>
          <w:marTop w:val="4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euro.hr%2F&amp;data=05%7C01%7C%7Cfb827eb0903941d3043408da6fac66d6%7Cd04f47175a6e4b98b3f96918e0385f4c%7C0%7C0%7C637945083491727413%7CUnknown%7CTWFpbGZsb3d8eyJWIjoiMC4wLjAwMDAiLCJQIjoiV2luMzIiLCJBTiI6Ik1haWwiLCJXVCI6Mn0%3D%7C3000%7C%7C%7C&amp;sdata=vLfI4OmjxZbFAq2STZ823ObQ0V8FDtZewkFyFWeCp2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TXT/HTML/?uri=CELEX:32022R1208&amp;from=HR" TargetMode="External"/><Relationship Id="rId5" Type="http://schemas.openxmlformats.org/officeDocument/2006/relationships/hyperlink" Target="https://eur-lex.europa.eu/legal-content/HR/TXT/PDF/?uri=CELEX:32022D1211&amp;from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Horvat</dc:creator>
  <cp:keywords/>
  <dc:description/>
  <cp:lastModifiedBy>Sanja Horvat</cp:lastModifiedBy>
  <cp:revision>2</cp:revision>
  <dcterms:created xsi:type="dcterms:W3CDTF">2022-12-14T13:59:00Z</dcterms:created>
  <dcterms:modified xsi:type="dcterms:W3CDTF">2022-12-14T13:59:00Z</dcterms:modified>
</cp:coreProperties>
</file>